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rFonts w:cs="Times New Roman" w:ascii="Times New Roman" w:hAnsi="Times New Roman"/>
          <w:bCs/>
          <w:szCs w:val="28"/>
        </w:rPr>
        <w:t>Obrazac 18.</w:t>
      </w:r>
    </w:p>
    <w:p>
      <w:pPr>
        <w:pStyle w:val="Normal"/>
        <w:spacing w:lineRule="auto" w:line="240" w:before="0" w:after="23"/>
        <w:jc w:val="both"/>
        <w:rPr/>
      </w:pP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>Nadležni trgovački sud TRGOVAČKI SUD U ZAGREBU, Stalna služba u Karlovcu</w:t>
      </w:r>
    </w:p>
    <w:p>
      <w:pPr>
        <w:pStyle w:val="Normal"/>
        <w:spacing w:lineRule="auto" w:line="240" w:before="0" w:after="23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  <w:lang w:val="pl-PL"/>
        </w:rPr>
        <w:t xml:space="preserve">Poslovni broj spisa        </w:t>
      </w: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>St-</w:t>
      </w:r>
      <w:r>
        <w:rPr>
          <w:rFonts w:eastAsia="NSimSun" w:cs="Times New Roman" w:ascii="Times New Roman" w:hAnsi="Times New Roman"/>
          <w:bCs/>
          <w:color w:val="000000"/>
          <w:kern w:val="2"/>
          <w:sz w:val="24"/>
          <w:szCs w:val="24"/>
          <w:u w:val="single"/>
          <w:lang w:val="pl-PL" w:eastAsia="en-US" w:bidi="hi-IN"/>
        </w:rPr>
        <w:t>1671</w:t>
      </w: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>/2020</w:t>
      </w:r>
    </w:p>
    <w:p>
      <w:pPr>
        <w:pStyle w:val="Normal"/>
        <w:spacing w:lineRule="auto" w:line="240" w:before="0" w:after="23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>
        <w:rPr>
          <w:rFonts w:cs="Times New Roman" w:ascii="Times New Roman" w:hAnsi="Times New Roman"/>
          <w:color w:val="000000"/>
          <w:sz w:val="24"/>
          <w:szCs w:val="24"/>
          <w:lang w:val="pl-PL"/>
        </w:rPr>
        <w:t xml:space="preserve">Dužnik (ime i prezime / tvrtka ili naziv, OIB, adresa / sjedište) </w:t>
      </w:r>
    </w:p>
    <w:p>
      <w:pPr>
        <w:pStyle w:val="Normal"/>
        <w:spacing w:lineRule="auto" w:line="240" w:before="0" w:after="23"/>
        <w:rPr/>
      </w:pP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 xml:space="preserve">Stečajna masa iza </w:t>
      </w:r>
      <w:r>
        <w:rPr>
          <w:rFonts w:eastAsia="NSimSun" w:cs="Times New Roman" w:ascii="Times New Roman" w:hAnsi="Times New Roman"/>
          <w:bCs/>
          <w:color w:val="000000"/>
          <w:kern w:val="2"/>
          <w:sz w:val="24"/>
          <w:szCs w:val="24"/>
          <w:u w:val="single"/>
          <w:lang w:val="pl-PL" w:eastAsia="en-US" w:bidi="hi-IN"/>
        </w:rPr>
        <w:t>ZENIT-U.Z.I</w:t>
      </w: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 xml:space="preserve"> d.o.o. </w:t>
      </w:r>
    </w:p>
    <w:p>
      <w:pPr>
        <w:pStyle w:val="Normal"/>
        <w:spacing w:lineRule="auto" w:line="240" w:before="0" w:after="23"/>
        <w:rPr/>
      </w:pP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 xml:space="preserve">OIB: </w:t>
      </w:r>
      <w:r>
        <w:rPr>
          <w:rFonts w:eastAsia="NSimSun" w:cs="Times New Roman" w:ascii="Times New Roman" w:hAnsi="Times New Roman"/>
          <w:bCs/>
          <w:color w:val="000000"/>
          <w:kern w:val="2"/>
          <w:sz w:val="24"/>
          <w:szCs w:val="24"/>
          <w:u w:val="single"/>
          <w:lang w:val="pl-PL" w:eastAsia="en-US" w:bidi="hi-IN"/>
        </w:rPr>
        <w:t>29276048338</w:t>
      </w: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>, Zagreb, Bukovačka cesta 51</w:t>
      </w:r>
    </w:p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bCs/>
          <w:sz w:val="24"/>
          <w:szCs w:val="24"/>
        </w:rPr>
        <w:t>II. TABLICA RAZLUČNIH PRAVA</w:t>
      </w:r>
    </w:p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bCs/>
          <w:sz w:val="24"/>
          <w:szCs w:val="24"/>
        </w:rPr>
        <w:t>(dopunjena  - naknadno primljena obavijest – r.br. 5 ove tablice)</w:t>
      </w:r>
    </w:p>
    <w:tbl>
      <w:tblPr>
        <w:tblW w:w="5000" w:type="pct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82"/>
        <w:gridCol w:w="711"/>
        <w:gridCol w:w="2031"/>
        <w:gridCol w:w="1515"/>
        <w:gridCol w:w="1591"/>
        <w:gridCol w:w="1711"/>
        <w:gridCol w:w="2086"/>
        <w:gridCol w:w="2159"/>
        <w:gridCol w:w="1982"/>
      </w:tblGrid>
      <w:tr>
        <w:trPr>
          <w:trHeight w:val="1016" w:hRule="atLeast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Red. broj </w:t>
            </w:r>
          </w:p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R.br. prijave tražb.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OIB razlučnog vjerovnika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Adresa/sjedište razlučnog vjerovnika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Pravna osnovu tražbine osigurane razlučnim pravom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Dio imovine na koji se odnosi razlučno pravo</w:t>
            </w:r>
          </w:p>
        </w:tc>
      </w:tr>
      <w:tr>
        <w:trPr>
          <w:trHeight w:val="1377" w:hRule="atLeast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/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/>
              <w:t>1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CENTAR BANKA d.d.  u stečaju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0"/>
                <w:szCs w:val="20"/>
                <w:lang w:val="hr-HR" w:eastAsia="en-US" w:bidi="hi-IN"/>
              </w:rPr>
              <w:t>89296739230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Heinzelova 47A, Zagreb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z.k. OGS ZG, zk.odjel Zagreb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 z.k. ul. 6270 k.o. Vrapče, podul. 3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(Z-31593/06)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2)zk.ul 4893 k.o. Grad Zagreb</w:t>
            </w:r>
          </w:p>
          <w:p>
            <w:pPr>
              <w:pStyle w:val="NoSpacing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(upis u tijeku Z-30742/15 povezivanje z.k. i KPU) 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Ukupno: 12.004.902,74 kn</w:t>
            </w:r>
          </w:p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 to:</w:t>
            </w:r>
          </w:p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 9.518.122,70 kn</w:t>
            </w:r>
          </w:p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2.486.780,04 kn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1)Ug.o kratkor. kreditu 569/2006 od 10.04.06 za iznos od 3.052.881,21 kn</w:t>
            </w:r>
          </w:p>
          <w:p>
            <w:pPr>
              <w:pStyle w:val="NoSpacing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Ug.o kratkoroč.kreditu 814/2006 od 04.05.06 za iznos od 6.465.241,49 kn</w:t>
            </w:r>
          </w:p>
          <w:p>
            <w:pPr>
              <w:pStyle w:val="NoSpacing"/>
              <w:spacing w:before="0" w:after="80"/>
              <w:jc w:val="left"/>
              <w:rPr>
                <w:rFonts w:ascii="Times New Roman" w:hAnsi="Times New Roman"/>
                <w:strike/>
              </w:rPr>
            </w:pPr>
            <w:r>
              <w:rPr>
                <w:rFonts w:ascii="Times New Roman" w:hAnsi="Times New Roman"/>
                <w:strike w:val="false"/>
                <w:dstrike w:val="false"/>
              </w:rPr>
              <w:t>razl.prav: Sporazum o osiguranju OU-979/06</w:t>
            </w:r>
          </w:p>
          <w:p>
            <w:pPr>
              <w:pStyle w:val="NoSpacing"/>
              <w:spacing w:before="0" w:after="80"/>
              <w:jc w:val="left"/>
              <w:rPr/>
            </w:pPr>
            <w:r>
              <w:rPr>
                <w:rFonts w:ascii="Times New Roman" w:hAnsi="Times New Roman"/>
              </w:rPr>
              <w:t>2) Ug.o dugor. kreditu 236/2004 od 1.3.04</w:t>
            </w:r>
          </w:p>
          <w:p>
            <w:pPr>
              <w:pStyle w:val="NoSpacing"/>
              <w:spacing w:before="0" w:after="80"/>
              <w:jc w:val="left"/>
              <w:rPr/>
            </w:pPr>
            <w:r>
              <w:rPr>
                <w:rFonts w:ascii="Times New Roman" w:hAnsi="Times New Roman"/>
              </w:rPr>
              <w:t>Sporazum o osiguranju OU-474/04, Dodatak I i II, Zapisnik o pljenidb.popisu od 29.3.04, Oglas u NN 129/04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 3. suvl. Dio 1796/10000 nekretnine kčbr. 1480/6 Stamb.zgrada Anina 16 et.vlasništvo (E-3) stan u prizemlju površ. 66,48 m3 oznake S3, sa park.mjestom P 3 i vrtom V3</w:t>
            </w:r>
          </w:p>
          <w:p>
            <w:pPr>
              <w:pStyle w:val="Normal"/>
              <w:spacing w:before="171" w:after="17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odg.suvl.dio nekr. kčbr. 5793 ko Grad Zagreb (6650/1 k.o. Trešnjevka) – trosob.stan br. 48, 1.kat- 87,84 m2 i spremište 4,26 m2</w:t>
            </w:r>
          </w:p>
        </w:tc>
      </w:tr>
      <w:tr>
        <w:trPr>
          <w:trHeight w:val="1377" w:hRule="atLeast"/>
        </w:trPr>
        <w:tc>
          <w:tcPr>
            <w:tcW w:w="7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Red. broj </w:t>
            </w:r>
          </w:p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R.br. prijave tražb.</w:t>
            </w:r>
          </w:p>
        </w:tc>
        <w:tc>
          <w:tcPr>
            <w:tcW w:w="2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1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OIB razlučnog vjerovnika</w:t>
            </w: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Adresa/sjedište razlučnog vjerovnika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2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Pravna osnovu tražbine osigurane razlučnim pravom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Dio imovine na koji se odnosi razlučno pravo</w:t>
            </w:r>
          </w:p>
        </w:tc>
      </w:tr>
      <w:tr>
        <w:trPr>
          <w:trHeight w:val="1377" w:hRule="atLeast"/>
        </w:trPr>
        <w:tc>
          <w:tcPr>
            <w:tcW w:w="7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color w:val="C9211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C9211E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Republika Hrvatska, Ministarstvo financija</w:t>
            </w:r>
          </w:p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Porezna uprava, Podr.ured Zagreb</w:t>
            </w:r>
          </w:p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zast.po  ŽDO u Karlovcu</w:t>
            </w:r>
          </w:p>
          <w:p>
            <w:pPr>
              <w:pStyle w:val="NoSpacing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</w:r>
          </w:p>
          <w:p>
            <w:pPr>
              <w:pStyle w:val="NoSpacing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</w:r>
          </w:p>
          <w:p>
            <w:pPr>
              <w:pStyle w:val="NoSpacing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1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Zagreb, Avenija Dubrovnik 32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Nije navedeno u obavijesti vjerovnika</w:t>
            </w:r>
          </w:p>
        </w:tc>
        <w:tc>
          <w:tcPr>
            <w:tcW w:w="2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239.858,88 kn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Rj. o ovrsi Klasa: UP/I-415-02/2010-001/03544 Urbroj: 513-007-01/2011-02 od 25.01.2011. i Zapisnik o izvršenoj pljenidbi  i procjeni pokretne imovine Klasa: UP/I-415-02/2010-001/03544 Urbroj: 513-007-10-01-11-11 od 19.05.2011. 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Kancelarijska oprema i pripadajuća informatička oprema, procj.vrijednost prema Zapisniku o pljendbi 24.150,00 kn</w:t>
            </w:r>
          </w:p>
          <w:p>
            <w:pPr>
              <w:pStyle w:val="Normal"/>
              <w:spacing w:before="0" w:after="8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Napomena:</w:t>
            </w:r>
          </w:p>
          <w:p>
            <w:pPr>
              <w:pStyle w:val="Normal"/>
              <w:spacing w:before="0" w:after="8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Oprema nije specificirana te ju  nije identificirati nije zatečena </w:t>
            </w:r>
          </w:p>
        </w:tc>
      </w:tr>
      <w:tr>
        <w:trPr>
          <w:trHeight w:val="688" w:hRule="atLeast"/>
        </w:trPr>
        <w:tc>
          <w:tcPr>
            <w:tcW w:w="7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03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rPr>
                <w:color w:val="000000"/>
              </w:rPr>
            </w:pPr>
            <w:r>
              <w:rPr>
                <w:rFonts w:eastAsia="NSimSun" w:cs="Times New Roman" w:ascii="Times New Roman" w:hAnsi="Times New Roman"/>
                <w:color w:val="000000" w:themeColor="text1"/>
                <w:kern w:val="2"/>
                <w:sz w:val="22"/>
                <w:szCs w:val="22"/>
                <w:lang w:val="hr-HR" w:eastAsia="en-US" w:bidi="hi-IN"/>
              </w:rPr>
              <w:t>Đurđica Cencelj</w:t>
            </w:r>
          </w:p>
        </w:tc>
        <w:tc>
          <w:tcPr>
            <w:tcW w:w="151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35225194061</w:t>
            </w:r>
          </w:p>
        </w:tc>
        <w:tc>
          <w:tcPr>
            <w:tcW w:w="159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Trpanjska 4, Zagreb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Obavijest vjerovnika: nije navedeno (priloženi su zk.izvatci zkul. 14085 k.o. Vrapče (podul. 5,6,7,8) i rješenje OGS ZG broj  Z-53297/14</w:t>
            </w:r>
          </w:p>
        </w:tc>
        <w:tc>
          <w:tcPr>
            <w:tcW w:w="2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Obavijest vjerovnika: 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402.000,00 kn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Obavijest vjerovnika: 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Rješenje OS NZ spis posl.br. P-3219/15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Obavijest vjerovnika: nije navedeno – rješenje ODO u N.Z broj P-3219/15 (priloženi su zk.izvatci zkul. 14085 k.o. Vrapče (podul. 5,6,7,8) i rješenje OGS ZG broj  Z-53297/14</w:t>
            </w:r>
          </w:p>
        </w:tc>
      </w:tr>
      <w:tr>
        <w:trPr>
          <w:trHeight w:val="1258" w:hRule="atLeast"/>
        </w:trPr>
        <w:tc>
          <w:tcPr>
            <w:tcW w:w="7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1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03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51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59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793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Napomena:</w:t>
            </w:r>
          </w:p>
          <w:p>
            <w:pPr>
              <w:pStyle w:val="NoSpacing"/>
              <w:spacing w:before="0" w:after="8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Stečajna upraviteljica smatra da vjerovnik nema razlučno pravo niti pravnu osnovu tražbine koja bi bila osigurana razlučnim pravom na imovini stečajnog dužnika, nego ima zabilježenu zabranu otuđenja i optrećenja (Z-53297/14 i Z-55160/14) kojima se nije stekao razlučno pravo. </w:t>
            </w:r>
          </w:p>
        </w:tc>
      </w:tr>
      <w:tr>
        <w:trPr>
          <w:trHeight w:val="960" w:hRule="atLeast"/>
        </w:trPr>
        <w:tc>
          <w:tcPr>
            <w:tcW w:w="7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Red. broj </w:t>
            </w:r>
          </w:p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R.br. prijave tražb.</w:t>
            </w:r>
          </w:p>
        </w:tc>
        <w:tc>
          <w:tcPr>
            <w:tcW w:w="2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1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OIB razlučnog vjerovnika</w:t>
            </w: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Adresa/sjedište razlučnog vjerovnika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2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Pravna osnovu tražbine osigurane razlučnim pravom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Dio imovine na koji se odnosi razlučno pravo</w:t>
            </w:r>
          </w:p>
        </w:tc>
      </w:tr>
      <w:tr>
        <w:trPr>
          <w:trHeight w:val="1377" w:hRule="atLeast"/>
        </w:trPr>
        <w:tc>
          <w:tcPr>
            <w:tcW w:w="7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(5)</w:t>
            </w:r>
          </w:p>
        </w:tc>
        <w:tc>
          <w:tcPr>
            <w:tcW w:w="2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Vjerovnik Suvlasnici stambene zgrade I Anina 16, Zagreb Bronić Mile i dr., nije podnio prijavu tražbine niti obavijestio o razlučnom pravo, ali je isto upisano u 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javnoj knjizi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eastAsia="NSimSun" w:cs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r>
          </w:p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Prijavu tražbinu je u svoje ime podnio  STAMBENI ZG d.o.o. ne navodeći razlučno pravo</w:t>
            </w:r>
          </w:p>
        </w:tc>
        <w:tc>
          <w:tcPr>
            <w:tcW w:w="1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z.k. ul. 6270 k.o. Vrapče, podul. 3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(Z-53013/14)</w:t>
            </w:r>
          </w:p>
        </w:tc>
        <w:tc>
          <w:tcPr>
            <w:tcW w:w="2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4.329,03 kn uvećano za  zak.zat.kamate i troškove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zabilježba ovrhe broj Z-53013/14 po rj. o ovrsi Ovrj-4224/14 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Opć.građ.suda u Zagrebu od 24.11.2014.</w:t>
            </w:r>
          </w:p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Napomena: prekid postupka rješenje 06.06.2014, pravomoćno 24.06.2016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U e-predmet vidljiv podnesak- dluka O.Z.O od dana 04.12.2020. koja još nije dostavljena stečajnoj upraviteljici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 suvl. dio 1796/10000 nekretnine kčbr. 1480/6 Stamb.zgrada Anina 16 et.vlasništvo (E-3) stan u prizemlju površ. 66,48 m3 oznake S3, sa park.mjestom P 3 i vrtom V3</w:t>
            </w:r>
          </w:p>
        </w:tc>
      </w:tr>
      <w:tr>
        <w:trPr>
          <w:trHeight w:val="1377" w:hRule="atLeast"/>
        </w:trPr>
        <w:tc>
          <w:tcPr>
            <w:tcW w:w="7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  <w:p>
            <w:pPr>
              <w:pStyle w:val="Normal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Željk</w:t>
            </w:r>
            <w:r>
              <w:rPr>
                <w:rFonts w:ascii="Times New Roman" w:hAnsi="Times New Roman"/>
              </w:rPr>
              <w:t>o</w:t>
            </w:r>
            <w:r>
              <w:rPr>
                <w:rFonts w:ascii="Times New Roman" w:hAnsi="Times New Roman"/>
              </w:rPr>
              <w:t xml:space="preserve"> Bronić  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bookmarkStart w:id="0" w:name="__DdeLink__280_3823237305"/>
            <w:r>
              <w:rPr>
                <w:rFonts w:ascii="Times New Roman" w:hAnsi="Times New Roman"/>
              </w:rPr>
              <w:t>obavijest o razlučnom pravu podnesena izvan roka, vjerovnik nije podnio prijavu tražbine kao stečajni vjerovnik</w:t>
            </w:r>
            <w:bookmarkEnd w:id="0"/>
            <w:r>
              <w:rPr>
                <w:rFonts w:ascii="Times New Roman" w:hAnsi="Times New Roman"/>
              </w:rPr>
              <w:t>)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OIB: 34145623710 </w:t>
            </w: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Zagreb, Valenovačka ulica 16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ascii="Times New Roman" w:hAnsi="Times New Roman"/>
              </w:rPr>
              <w:t xml:space="preserve">U z.k. u. </w:t>
            </w:r>
            <w:r>
              <w:rPr>
                <w:rFonts w:eastAsia="NSimSun" w:cs="Calibri" w:ascii="Times New Roman" w:hAnsi="Times New Roman"/>
                <w:color w:val="auto"/>
                <w:kern w:val="2"/>
                <w:sz w:val="22"/>
                <w:szCs w:val="22"/>
                <w:lang w:val="hr-HR" w:eastAsia="en-US" w:bidi="hi-IN"/>
              </w:rPr>
              <w:t>1</w:t>
            </w:r>
            <w:r>
              <w:rPr>
                <w:rFonts w:eastAsia="NSimSun" w:cs="Calibri" w:ascii="Times New Roman" w:hAnsi="Times New Roman"/>
                <w:color w:val="auto"/>
                <w:kern w:val="2"/>
                <w:sz w:val="22"/>
                <w:szCs w:val="22"/>
                <w:lang w:val="hr-HR" w:eastAsia="en-US" w:bidi="hi-IN"/>
              </w:rPr>
              <w:t>4085</w:t>
            </w:r>
            <w:r>
              <w:rPr>
                <w:rFonts w:ascii="Times New Roman" w:hAnsi="Times New Roman"/>
              </w:rPr>
              <w:t xml:space="preserve"> k.o. Vrapče </w:t>
            </w:r>
            <w:r>
              <w:rPr>
                <w:rFonts w:eastAsia="NSimSun" w:cs="Calibri" w:ascii="Times New Roman" w:hAnsi="Times New Roman"/>
                <w:color w:val="auto"/>
                <w:kern w:val="2"/>
                <w:sz w:val="22"/>
                <w:szCs w:val="22"/>
                <w:lang w:val="hr-HR" w:eastAsia="en-US" w:bidi="hi-I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za E-</w:t>
            </w:r>
            <w:r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E-</w:t>
            </w:r>
            <w:r>
              <w:rPr>
                <w:rFonts w:ascii="Times New Roman" w:hAnsi="Times New Roman"/>
              </w:rPr>
              <w:t>5,</w:t>
            </w:r>
            <w:r>
              <w:rPr>
                <w:rFonts w:ascii="Times New Roman" w:hAnsi="Times New Roman"/>
              </w:rPr>
              <w:t>E-</w:t>
            </w:r>
            <w:r>
              <w:rPr>
                <w:rFonts w:ascii="Times New Roman" w:hAnsi="Times New Roman"/>
              </w:rPr>
              <w:t>6,</w:t>
            </w:r>
            <w:r>
              <w:rPr>
                <w:rFonts w:ascii="Times New Roman" w:hAnsi="Times New Roman"/>
              </w:rPr>
              <w:t>E-</w:t>
            </w:r>
            <w:r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E-</w:t>
            </w:r>
            <w:r>
              <w:rPr>
                <w:rFonts w:ascii="Times New Roman" w:hAnsi="Times New Roman"/>
              </w:rPr>
              <w:t xml:space="preserve">8 upisana je pod brojem Z-55160/14 zabilježba zabrane otuđenja i opterećenja </w:t>
            </w:r>
          </w:p>
        </w:tc>
        <w:tc>
          <w:tcPr>
            <w:tcW w:w="2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Prema obavijesti o razlučnom pravu:</w:t>
            </w:r>
          </w:p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1.096.445,75 kn (513.247,00 kn + zzk od 25.07.2009 nadalje)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Prema obavijesti o razlučnom pravu: naknada štete-odluka suda, priloženo rješenje OKS ZG, KO-237/14 od 18.12.14. o određivanju zabrane otuđenja i opterećenja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Prema obavijesti o razlučnom pravu </w:t>
            </w:r>
            <w:r>
              <w:rPr>
                <w:rFonts w:ascii="Times New Roman" w:hAnsi="Times New Roman"/>
              </w:rPr>
              <w:t>zabrana otuđenja i opterećenja nekretnina</w:t>
            </w:r>
            <w:r>
              <w:rPr>
                <w:rFonts w:ascii="Times New Roman" w:hAnsi="Times New Roman"/>
              </w:rPr>
              <w:t xml:space="preserve"> z.k. u</w:t>
            </w:r>
            <w:r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</w:rPr>
              <w:t xml:space="preserve">. </w:t>
            </w:r>
            <w:r>
              <w:rPr>
                <w:rFonts w:eastAsia="NSimSun" w:cs="Calibri" w:ascii="Times New Roman" w:hAnsi="Times New Roman"/>
                <w:color w:val="auto"/>
                <w:kern w:val="2"/>
                <w:sz w:val="22"/>
                <w:szCs w:val="22"/>
                <w:lang w:val="hr-HR" w:eastAsia="en-US" w:bidi="hi-IN"/>
              </w:rPr>
              <w:t>1</w:t>
            </w:r>
            <w:r>
              <w:rPr>
                <w:rFonts w:eastAsia="NSimSun" w:cs="Calibri" w:ascii="Times New Roman" w:hAnsi="Times New Roman"/>
                <w:color w:val="auto"/>
                <w:kern w:val="2"/>
                <w:sz w:val="22"/>
                <w:szCs w:val="22"/>
                <w:lang w:val="hr-HR" w:eastAsia="en-US" w:bidi="hi-IN"/>
              </w:rPr>
              <w:t>4085</w:t>
            </w:r>
            <w:r>
              <w:rPr>
                <w:rFonts w:ascii="Times New Roman" w:hAnsi="Times New Roman"/>
              </w:rPr>
              <w:t xml:space="preserve"> k.o. Vrapče </w:t>
            </w:r>
            <w:r>
              <w:rPr>
                <w:rFonts w:eastAsia="NSimSun" w:cs="Calibri" w:ascii="Times New Roman" w:hAnsi="Times New Roman"/>
                <w:color w:val="auto"/>
                <w:kern w:val="2"/>
                <w:sz w:val="22"/>
                <w:szCs w:val="22"/>
                <w:lang w:val="hr-HR" w:eastAsia="en-US" w:bidi="hi-I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E-</w:t>
            </w:r>
            <w:r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E-</w:t>
            </w:r>
            <w:r>
              <w:rPr>
                <w:rFonts w:ascii="Times New Roman" w:hAnsi="Times New Roman"/>
              </w:rPr>
              <w:t>5,</w:t>
            </w:r>
            <w:r>
              <w:rPr>
                <w:rFonts w:ascii="Times New Roman" w:hAnsi="Times New Roman"/>
              </w:rPr>
              <w:t>E-</w:t>
            </w:r>
            <w:r>
              <w:rPr>
                <w:rFonts w:ascii="Times New Roman" w:hAnsi="Times New Roman"/>
              </w:rPr>
              <w:t>6,</w:t>
            </w:r>
            <w:r>
              <w:rPr>
                <w:rFonts w:ascii="Times New Roman" w:hAnsi="Times New Roman"/>
              </w:rPr>
              <w:t>E-</w:t>
            </w:r>
            <w:r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E-</w:t>
            </w:r>
            <w:r>
              <w:rPr>
                <w:rFonts w:ascii="Times New Roman" w:hAnsi="Times New Roman"/>
              </w:rPr>
              <w:t>8,</w:t>
            </w:r>
            <w:r>
              <w:rPr>
                <w:rFonts w:ascii="Times New Roman" w:hAnsi="Times New Roman"/>
              </w:rPr>
              <w:t xml:space="preserve">a prema rješenju </w:t>
            </w:r>
            <w:r>
              <w:rPr>
                <w:rFonts w:ascii="Times New Roman" w:hAnsi="Times New Roman"/>
              </w:rPr>
              <w:t xml:space="preserve">OKS ZG, KO-237/14 od 18.12.14. </w:t>
            </w:r>
            <w:r>
              <w:rPr>
                <w:rFonts w:ascii="Times New Roman" w:hAnsi="Times New Roman"/>
              </w:rPr>
              <w:t xml:space="preserve">i zabrana otuđenja i operećenja založnog prava u  </w:t>
            </w:r>
            <w:r>
              <w:rPr>
                <w:rFonts w:ascii="Times New Roman" w:hAnsi="Times New Roman"/>
              </w:rPr>
              <w:t>z.k. u</w:t>
            </w:r>
            <w:r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</w:rPr>
              <w:t xml:space="preserve">. </w:t>
            </w:r>
            <w:r>
              <w:rPr>
                <w:rFonts w:eastAsia="NSimSun" w:cs="Calibri" w:ascii="Times New Roman" w:hAnsi="Times New Roman"/>
                <w:color w:val="auto"/>
                <w:kern w:val="2"/>
                <w:sz w:val="22"/>
                <w:szCs w:val="22"/>
                <w:lang w:val="hr-HR" w:eastAsia="en-US" w:bidi="hi-IN"/>
              </w:rPr>
              <w:t>1</w:t>
            </w:r>
            <w:r>
              <w:rPr>
                <w:rFonts w:eastAsia="NSimSun" w:cs="Calibri" w:ascii="Times New Roman" w:hAnsi="Times New Roman"/>
                <w:color w:val="auto"/>
                <w:kern w:val="2"/>
                <w:sz w:val="22"/>
                <w:szCs w:val="22"/>
                <w:lang w:val="hr-HR" w:eastAsia="en-US" w:bidi="hi-IN"/>
              </w:rPr>
              <w:t>4085</w:t>
            </w:r>
            <w:r>
              <w:rPr>
                <w:rFonts w:ascii="Times New Roman" w:hAnsi="Times New Roman"/>
              </w:rPr>
              <w:t xml:space="preserve"> k.o. Vrapče </w:t>
            </w:r>
            <w:r>
              <w:rPr>
                <w:rFonts w:ascii="Times New Roman" w:hAnsi="Times New Roman"/>
              </w:rPr>
              <w:t>E-</w:t>
            </w:r>
            <w:r>
              <w:rPr>
                <w:rFonts w:ascii="Times New Roman" w:hAnsi="Times New Roman"/>
              </w:rPr>
              <w:t>4</w:t>
            </w:r>
          </w:p>
        </w:tc>
      </w:tr>
    </w:tbl>
    <w:p>
      <w:pPr>
        <w:pStyle w:val="Normal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 xml:space="preserve">Napomena </w:t>
      </w:r>
      <w:r>
        <w:rPr>
          <w:rFonts w:cs="Times New Roman" w:ascii="Times New Roman" w:hAnsi="Times New Roman"/>
          <w:bCs/>
        </w:rPr>
        <w:t>uz r.br. 5 – obavijest o razlučnom pravu Željka Bronića</w:t>
      </w:r>
      <w:r>
        <w:rPr>
          <w:rFonts w:cs="Times New Roman" w:ascii="Times New Roman" w:hAnsi="Times New Roman"/>
          <w:bCs/>
        </w:rPr>
        <w:t>:</w:t>
      </w:r>
    </w:p>
    <w:p>
      <w:pPr>
        <w:pStyle w:val="Normal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 xml:space="preserve">obavijest o razlučnom pravu podnesena izvan roka, vjerovnik nije podnio prijavu tražbine kao stečajni vjerovnik. </w:t>
      </w:r>
    </w:p>
    <w:p>
      <w:pPr>
        <w:pStyle w:val="Normal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 xml:space="preserve">Stečajna upraviteljica smatra da vjerovnik nema razlučno pravo niti pravnu osnovu tražbine koja bi bila osigurana razlučnim pravom na imovini stečajnog dužnika, nego ima zabilježenu zabranu otuđenja i optrećenja (Z-53297/14 i Z-55160/14) kojima se nije stekao razlučno pravo. Naime, vjerovnik je </w:t>
      </w:r>
      <w:r>
        <w:rPr>
          <w:rFonts w:cs="Times New Roman" w:ascii="Times New Roman" w:hAnsi="Times New Roman"/>
          <w:bCs/>
        </w:rPr>
        <w:t xml:space="preserve">temeljem rješenja  Općinskog kaznenog suda u Zagrebu posl.br. KO-237/14 od 18.12.14. </w:t>
      </w:r>
      <w:r>
        <w:rPr>
          <w:rFonts w:cs="Times New Roman" w:ascii="Times New Roman" w:hAnsi="Times New Roman"/>
          <w:bCs/>
        </w:rPr>
        <w:t xml:space="preserve">ishodio zabranu otuđenja i opterećenja  </w:t>
      </w:r>
      <w:r>
        <w:rPr>
          <w:rFonts w:cs="Times New Roman" w:ascii="Times New Roman" w:hAnsi="Times New Roman"/>
          <w:bCs/>
        </w:rPr>
        <w:t xml:space="preserve">upisanu pod brojem Z-55160/14 u z.k.ul. 14085 k.o. Vrapče u </w:t>
      </w:r>
      <w:r>
        <w:rPr>
          <w:rFonts w:cs="Times New Roman" w:ascii="Times New Roman" w:hAnsi="Times New Roman"/>
          <w:bCs/>
        </w:rPr>
        <w:t xml:space="preserve">E-4,E-5,E-6,E-7,E-8 </w:t>
      </w:r>
      <w:r>
        <w:rPr>
          <w:rFonts w:cs="Times New Roman" w:ascii="Times New Roman" w:hAnsi="Times New Roman"/>
          <w:bCs/>
        </w:rPr>
        <w:t>te</w:t>
      </w:r>
      <w:r>
        <w:rPr>
          <w:rFonts w:cs="Times New Roman" w:ascii="Times New Roman" w:hAnsi="Times New Roman"/>
          <w:bCs/>
        </w:rPr>
        <w:t xml:space="preserve"> zabrana otuđenja i operećenja založnog prava u  z.k. ul. 14085 k.o. Vrapče E-4. </w:t>
      </w:r>
      <w:r>
        <w:rPr>
          <w:rFonts w:cs="Times New Roman" w:ascii="Times New Roman" w:hAnsi="Times New Roman"/>
          <w:bCs/>
        </w:rPr>
        <w:t xml:space="preserve">Navedenim zabilježbama nije stečeno </w:t>
      </w:r>
      <w:r>
        <w:rPr>
          <w:rFonts w:cs="Times New Roman" w:ascii="Times New Roman" w:hAnsi="Times New Roman"/>
          <w:bCs/>
        </w:rPr>
        <w:t xml:space="preserve">razlučno pravo, a navedena zabilježba određena je i upisana radi osiguranja imovinskopravnog zahtjeva podnositelja u kaznenom postupku koji je u odnosu na ZENIT-U.Z.I. d.o.o. obustavljen rješenjem  te je vjerovnik u pogledu imovinskopravnog zahtjeva bio upućen u parnicu rješenjem KO-237/2014-39 od 20.10.2015. godine. </w:t>
      </w:r>
    </w:p>
    <w:p>
      <w:pPr>
        <w:pStyle w:val="Normal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</w:r>
    </w:p>
    <w:p>
      <w:pPr>
        <w:pStyle w:val="Normal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  <w:t xml:space="preserve">Mjesto i datum </w:t>
        <w:tab/>
        <w:tab/>
        <w:tab/>
        <w:tab/>
        <w:tab/>
        <w:tab/>
        <w:t xml:space="preserve">                   </w:t>
        <w:tab/>
        <w:t xml:space="preserve">                                                                                Stečajni upravitelj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  <w:t xml:space="preserve">Zagreb, </w:t>
      </w:r>
      <w:r>
        <w:rPr>
          <w:rFonts w:cs="Times New Roman" w:ascii="Times New Roman" w:hAnsi="Times New Roman"/>
          <w:bCs/>
          <w:color w:val="000000"/>
          <w:sz w:val="22"/>
          <w:szCs w:val="22"/>
        </w:rPr>
        <w:t>05</w:t>
      </w:r>
      <w:r>
        <w:rPr>
          <w:rFonts w:cs="Times New Roman" w:ascii="Times New Roman" w:hAnsi="Times New Roman"/>
          <w:bCs/>
          <w:color w:val="000000"/>
          <w:sz w:val="22"/>
          <w:szCs w:val="22"/>
        </w:rPr>
        <w:t>.0</w:t>
      </w:r>
      <w:r>
        <w:rPr>
          <w:rFonts w:cs="Times New Roman" w:ascii="Times New Roman" w:hAnsi="Times New Roman"/>
          <w:bCs/>
          <w:color w:val="000000"/>
          <w:sz w:val="22"/>
          <w:szCs w:val="22"/>
        </w:rPr>
        <w:t>3</w:t>
      </w:r>
      <w:r>
        <w:rPr>
          <w:rFonts w:cs="Times New Roman" w:ascii="Times New Roman" w:hAnsi="Times New Roman"/>
          <w:bCs/>
          <w:color w:val="000000"/>
          <w:sz w:val="22"/>
          <w:szCs w:val="22"/>
        </w:rPr>
        <w:t>.2021</w:t>
        <w:tab/>
        <w:tab/>
        <w:tab/>
        <w:tab/>
        <w:tab/>
        <w:t xml:space="preserve">                                                                                                              Martina Grgec</w:t>
      </w:r>
    </w:p>
    <w:p>
      <w:pPr>
        <w:pStyle w:val="Normal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</w:r>
    </w:p>
    <w:p>
      <w:pPr>
        <w:pStyle w:val="Normal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</w:r>
    </w:p>
    <w:p>
      <w:pPr>
        <w:pStyle w:val="Normal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</w:r>
    </w:p>
    <w:p>
      <w:pPr>
        <w:pStyle w:val="Normal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</w:r>
    </w:p>
    <w:p>
      <w:pPr>
        <w:pStyle w:val="Normal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</w:r>
    </w:p>
    <w:p>
      <w:pPr>
        <w:pStyle w:val="Normal"/>
        <w:spacing w:before="0" w:after="80"/>
        <w:jc w:val="center"/>
        <w:rPr/>
      </w:pPr>
      <w:r>
        <w:rPr/>
      </w:r>
    </w:p>
    <w:sectPr>
      <w:type w:val="nextPage"/>
      <w:pgSz w:orient="landscape" w:w="16838" w:h="11906"/>
      <w:pgMar w:left="1134" w:right="1134" w:header="0" w:top="1361" w:footer="0" w:bottom="90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ucida Grande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9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hr-H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hr-HR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caption" w:uiPriority="35" w:qFormat="1"/>
    <w:lsdException w:name="footnote reference" w:unhideWhenUsed="0"/>
    <w:lsdException w:name="annotation reference" w:unhideWhenUsed="0"/>
    <w:lsdException w:name="Title" w:uiPriority="10" w:semiHidden="0" w:unhideWhenUsed="0" w:qFormat="1"/>
    <w:lsdException w:name="Default Paragraph Fon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annotation subject" w:unhideWhenUsed="0"/>
    <w:lsdException w:name="Balloon Text" w:unhideWhenUsed="0"/>
    <w:lsdException w:name="Table Grid" w:uiPriority="0"/>
    <w:lsdException w:name="Placeholder Text" w:unhideWhenUsed="0"/>
    <w:lsdException w:name="No Spacing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234df"/>
    <w:pPr>
      <w:widowControl/>
      <w:overflowPunct w:val="true"/>
      <w:bidi w:val="0"/>
      <w:spacing w:before="0" w:after="80"/>
      <w:jc w:val="left"/>
    </w:pPr>
    <w:rPr>
      <w:rFonts w:ascii="Liberation Serif" w:hAnsi="Liberation Serif" w:eastAsia="NSimSun" w:cs="Calibri"/>
      <w:color w:val="auto"/>
      <w:kern w:val="2"/>
      <w:sz w:val="22"/>
      <w:szCs w:val="22"/>
      <w:lang w:val="hr-HR" w:eastAsia="en-US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TextChar" w:customStyle="1">
    <w:name w:val="Footnote Text Char"/>
    <w:link w:val="FootnoteText"/>
    <w:uiPriority w:val="99"/>
    <w:qFormat/>
    <w:rPr>
      <w:rFonts w:ascii="Calibri" w:hAnsi="Calibri" w:eastAsia="Times New Roman" w:cs="Calibri"/>
      <w:sz w:val="20"/>
      <w:szCs w:val="20"/>
      <w:lang w:eastAsia="en-US"/>
    </w:rPr>
  </w:style>
  <w:style w:type="character" w:styleId="FootnoteCharacters">
    <w:name w:val="Footnote Characters"/>
    <w:uiPriority w:val="99"/>
    <w:qFormat/>
    <w:rPr>
      <w:vertAlign w:val="superscript"/>
    </w:rPr>
  </w:style>
  <w:style w:type="character" w:styleId="FootnoteAnchor">
    <w:name w:val="Footnote Anchor"/>
    <w:qFormat/>
    <w:rPr>
      <w:vertAlign w:val="superscript"/>
    </w:rPr>
  </w:style>
  <w:style w:type="character" w:styleId="Annotationreference">
    <w:name w:val="annotation reference"/>
    <w:uiPriority w:val="99"/>
    <w:qFormat/>
    <w:rPr>
      <w:rFonts w:ascii="Times New Roman" w:hAnsi="Times New Roman" w:cs="Times New Roman"/>
      <w:sz w:val="18"/>
      <w:szCs w:val="18"/>
    </w:rPr>
  </w:style>
  <w:style w:type="character" w:styleId="CommentTextChar" w:customStyle="1">
    <w:name w:val="Comment Text Char"/>
    <w:link w:val="CommentText"/>
    <w:uiPriority w:val="99"/>
    <w:qFormat/>
    <w:rPr>
      <w:rFonts w:ascii="Calibri" w:hAnsi="Calibri" w:eastAsia="Times New Roman" w:cs="Calibri"/>
      <w:sz w:val="24"/>
      <w:szCs w:val="24"/>
      <w:lang w:eastAsia="en-US"/>
    </w:rPr>
  </w:style>
  <w:style w:type="character" w:styleId="CommentSubjectChar" w:customStyle="1">
    <w:name w:val="Comment Subject Char"/>
    <w:link w:val="CommentSubject"/>
    <w:uiPriority w:val="99"/>
    <w:qFormat/>
    <w:rPr>
      <w:rFonts w:ascii="Calibri" w:hAnsi="Calibri" w:eastAsia="Times New Roman" w:cs="Calibri"/>
      <w:b/>
      <w:bCs/>
      <w:sz w:val="20"/>
      <w:szCs w:val="20"/>
      <w:lang w:eastAsia="en-US"/>
    </w:rPr>
  </w:style>
  <w:style w:type="character" w:styleId="BalloonTextChar" w:customStyle="1">
    <w:name w:val="Balloon Text Char"/>
    <w:link w:val="BalloonText"/>
    <w:uiPriority w:val="99"/>
    <w:qFormat/>
    <w:rPr>
      <w:rFonts w:ascii="Lucida Grande" w:hAnsi="Lucida Grande" w:eastAsia="Times New Roman" w:cs="Lucida Grande"/>
      <w:sz w:val="18"/>
      <w:szCs w:val="18"/>
      <w:lang w:eastAsia="en-US"/>
    </w:rPr>
  </w:style>
  <w:style w:type="paragraph" w:styleId="Stilnaslova">
    <w:name w:val="Stil naslova"/>
    <w:basedOn w:val="Normal"/>
    <w:next w:val="Tijeloteksta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ijeloteksta">
    <w:name w:val="Body Text"/>
    <w:basedOn w:val="Normal"/>
    <w:pPr>
      <w:spacing w:lineRule="auto" w:line="276" w:before="0" w:after="140"/>
    </w:pPr>
    <w:rPr/>
  </w:style>
  <w:style w:type="paragraph" w:styleId="Popis">
    <w:name w:val="List"/>
    <w:basedOn w:val="Tijeloteksta"/>
    <w:pPr/>
    <w:rPr>
      <w:rFonts w:cs="Lucida Sans"/>
    </w:rPr>
  </w:style>
  <w:style w:type="paragraph" w:styleId="Opiselement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Spacing">
    <w:name w:val="No Spacing"/>
    <w:uiPriority w:val="99"/>
    <w:qFormat/>
    <w:pPr>
      <w:widowControl/>
      <w:overflowPunct w:val="true"/>
      <w:bidi w:val="0"/>
      <w:spacing w:before="0" w:after="80"/>
      <w:jc w:val="left"/>
    </w:pPr>
    <w:rPr>
      <w:rFonts w:ascii="Liberation Serif" w:hAnsi="Liberation Serif" w:eastAsia="NSimSun" w:cs="Calibri"/>
      <w:color w:val="auto"/>
      <w:kern w:val="2"/>
      <w:sz w:val="22"/>
      <w:szCs w:val="22"/>
      <w:lang w:val="hr-HR" w:eastAsia="en-US" w:bidi="hi-IN"/>
    </w:rPr>
  </w:style>
  <w:style w:type="paragraph" w:styleId="Fusnota">
    <w:name w:val="Footnote Text"/>
    <w:basedOn w:val="Normal"/>
    <w:link w:val="FootnoteTextChar"/>
    <w:uiPriority w:val="99"/>
    <w:pPr/>
    <w:rPr>
      <w:sz w:val="20"/>
      <w:szCs w:val="20"/>
    </w:rPr>
  </w:style>
  <w:style w:type="paragraph" w:styleId="Annotationtext">
    <w:name w:val="annotation text"/>
    <w:basedOn w:val="Normal"/>
    <w:link w:val="CommentTextChar"/>
    <w:uiPriority w:val="99"/>
    <w:qFormat/>
    <w:pPr/>
    <w:rPr>
      <w:sz w:val="24"/>
      <w:szCs w:val="24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qFormat/>
    <w:pPr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qFormat/>
    <w:pPr>
      <w:spacing w:before="0" w:after="0"/>
    </w:pPr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054797"/>
    <w:pPr>
      <w:spacing w:before="0" w:after="80"/>
      <w:ind w:left="720" w:hanging="0"/>
      <w:contextualSpacing/>
    </w:pPr>
    <w:rPr/>
  </w:style>
  <w:style w:type="paragraph" w:styleId="Sadrajitablice">
    <w:name w:val="Sadržaji tablice"/>
    <w:basedOn w:val="Normal"/>
    <w:qFormat/>
    <w:pPr>
      <w:suppressLineNumbers/>
    </w:pPr>
    <w:rPr/>
  </w:style>
  <w:style w:type="paragraph" w:styleId="Naslovtablice">
    <w:name w:val="Naslov tablice"/>
    <w:basedOn w:val="Sadrajitablice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274cea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06A6E-A8F5-4D1B-9BAB-A81FE32DF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Application>LibreOffice/6.3.5.2$Windows_X86_64 LibreOffice_project/dd0751754f11728f69b42ee2af66670068624673</Application>
  <Pages>4</Pages>
  <Words>916</Words>
  <Characters>5516</Characters>
  <CharactersWithSpaces>6594</CharactersWithSpaces>
  <Paragraphs>106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2018-11-20T15:43:00Z</dcterms:created>
  <dc:creator/>
  <dc:description/>
  <dc:language>hr-HR</dc:language>
  <cp:lastModifiedBy/>
  <cp:lastPrinted>2018-06-26T19:22:00Z</cp:lastPrinted>
  <dcterms:modified xsi:type="dcterms:W3CDTF">2021-03-05T09:19:03Z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